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3A9" w:rsidRDefault="006F03A9" w:rsidP="006F03A9">
      <w:pPr>
        <w:pStyle w:val="KeinAbsatzformat"/>
        <w:tabs>
          <w:tab w:val="left" w:pos="227"/>
          <w:tab w:val="left" w:pos="2260"/>
        </w:tabs>
        <w:suppressAutoHyphens/>
        <w:spacing w:after="50"/>
        <w:jc w:val="center"/>
        <w:rPr>
          <w:rFonts w:ascii="Arial" w:hAnsi="Arial" w:cs="Arial"/>
          <w:b/>
          <w:bCs/>
          <w:sz w:val="32"/>
          <w:szCs w:val="20"/>
        </w:rPr>
      </w:pPr>
    </w:p>
    <w:p w:rsidR="006F03A9" w:rsidRDefault="006F03A9" w:rsidP="006F03A9">
      <w:pPr>
        <w:pStyle w:val="KeinAbsatzformat"/>
        <w:tabs>
          <w:tab w:val="left" w:pos="227"/>
          <w:tab w:val="left" w:pos="2260"/>
        </w:tabs>
        <w:suppressAutoHyphens/>
        <w:spacing w:after="50"/>
        <w:jc w:val="center"/>
        <w:rPr>
          <w:rFonts w:ascii="Arial" w:hAnsi="Arial" w:cs="Arial"/>
          <w:b/>
          <w:bCs/>
          <w:sz w:val="32"/>
          <w:szCs w:val="20"/>
        </w:rPr>
      </w:pPr>
    </w:p>
    <w:p w:rsidR="006F03A9" w:rsidRDefault="006F03A9" w:rsidP="006F03A9">
      <w:pPr>
        <w:pStyle w:val="KeinAbsatzformat"/>
        <w:tabs>
          <w:tab w:val="left" w:pos="227"/>
          <w:tab w:val="left" w:pos="2260"/>
        </w:tabs>
        <w:suppressAutoHyphens/>
        <w:spacing w:after="50"/>
        <w:jc w:val="center"/>
        <w:rPr>
          <w:rFonts w:ascii="Arial" w:hAnsi="Arial" w:cs="Arial"/>
          <w:b/>
          <w:bCs/>
          <w:sz w:val="32"/>
          <w:szCs w:val="20"/>
          <w:vertAlign w:val="superscript"/>
        </w:rPr>
      </w:pPr>
      <w:bookmarkStart w:id="0" w:name="_GoBack"/>
      <w:bookmarkEnd w:id="0"/>
      <w:r>
        <w:rPr>
          <w:rFonts w:ascii="Arial" w:hAnsi="Arial" w:cs="Arial"/>
          <w:b/>
          <w:bCs/>
          <w:sz w:val="32"/>
          <w:szCs w:val="20"/>
        </w:rPr>
        <w:t>A</w:t>
      </w:r>
      <w:r w:rsidRPr="006B1AFF">
        <w:rPr>
          <w:rFonts w:ascii="Arial" w:hAnsi="Arial" w:cs="Arial"/>
          <w:b/>
          <w:bCs/>
          <w:sz w:val="32"/>
          <w:szCs w:val="20"/>
        </w:rPr>
        <w:t xml:space="preserve">ntrag auf </w:t>
      </w:r>
      <w:r>
        <w:rPr>
          <w:rFonts w:ascii="Arial" w:hAnsi="Arial" w:cs="Arial"/>
          <w:b/>
          <w:bCs/>
          <w:sz w:val="32"/>
          <w:szCs w:val="20"/>
        </w:rPr>
        <w:t xml:space="preserve">Kostenerstattung einer Liquid </w:t>
      </w:r>
      <w:proofErr w:type="spellStart"/>
      <w:r>
        <w:rPr>
          <w:rFonts w:ascii="Arial" w:hAnsi="Arial" w:cs="Arial"/>
          <w:b/>
          <w:bCs/>
          <w:sz w:val="32"/>
          <w:szCs w:val="20"/>
        </w:rPr>
        <w:t>Biopsy</w:t>
      </w:r>
      <w:proofErr w:type="spellEnd"/>
      <w:r>
        <w:rPr>
          <w:rFonts w:ascii="Arial" w:hAnsi="Arial" w:cs="Arial"/>
          <w:b/>
          <w:bCs/>
          <w:sz w:val="32"/>
          <w:szCs w:val="20"/>
        </w:rPr>
        <w:t xml:space="preserve"> ESR1</w:t>
      </w:r>
    </w:p>
    <w:p w:rsidR="006F03A9" w:rsidRDefault="006F03A9" w:rsidP="006F03A9">
      <w:pPr>
        <w:pStyle w:val="KeinAbsatzformat"/>
        <w:tabs>
          <w:tab w:val="left" w:pos="227"/>
          <w:tab w:val="left" w:pos="2260"/>
        </w:tabs>
        <w:suppressAutoHyphens/>
        <w:jc w:val="both"/>
        <w:rPr>
          <w:rFonts w:ascii="Arial" w:hAnsi="Arial" w:cs="Arial"/>
          <w:bCs/>
          <w:sz w:val="22"/>
          <w:szCs w:val="22"/>
        </w:rPr>
      </w:pPr>
    </w:p>
    <w:p w:rsidR="006F03A9" w:rsidRDefault="006F03A9" w:rsidP="006F03A9">
      <w:pPr>
        <w:pStyle w:val="KeinAbsatzformat"/>
        <w:tabs>
          <w:tab w:val="left" w:pos="227"/>
          <w:tab w:val="left" w:pos="2260"/>
        </w:tabs>
        <w:suppressAutoHyphens/>
        <w:jc w:val="both"/>
        <w:rPr>
          <w:rFonts w:ascii="Arial" w:hAnsi="Arial" w:cs="Arial"/>
          <w:bCs/>
          <w:sz w:val="22"/>
          <w:szCs w:val="22"/>
        </w:rPr>
      </w:pPr>
    </w:p>
    <w:p w:rsidR="006F03A9" w:rsidRDefault="006F03A9" w:rsidP="006F03A9">
      <w:pPr>
        <w:pStyle w:val="KeinAbsatzformat"/>
        <w:tabs>
          <w:tab w:val="left" w:pos="227"/>
          <w:tab w:val="left" w:pos="2260"/>
        </w:tabs>
        <w:suppressAutoHyphens/>
        <w:jc w:val="both"/>
        <w:rPr>
          <w:rFonts w:ascii="Arial" w:hAnsi="Arial" w:cs="Arial"/>
          <w:bCs/>
          <w:sz w:val="22"/>
          <w:szCs w:val="22"/>
        </w:rPr>
      </w:pPr>
    </w:p>
    <w:p w:rsidR="006F03A9" w:rsidRPr="005B277E" w:rsidRDefault="006F03A9" w:rsidP="006F03A9">
      <w:pPr>
        <w:pStyle w:val="KeinAbsatzformat"/>
        <w:tabs>
          <w:tab w:val="left" w:pos="227"/>
          <w:tab w:val="left" w:pos="2260"/>
        </w:tabs>
        <w:suppressAutoHyphens/>
        <w:jc w:val="both"/>
        <w:rPr>
          <w:rFonts w:ascii="Arial" w:hAnsi="Arial" w:cs="Arial"/>
          <w:bCs/>
          <w:sz w:val="22"/>
          <w:szCs w:val="22"/>
        </w:rPr>
      </w:pPr>
      <w:proofErr w:type="spellStart"/>
      <w:r>
        <w:rPr>
          <w:rFonts w:ascii="Arial" w:hAnsi="Arial" w:cs="Arial"/>
          <w:bCs/>
          <w:sz w:val="22"/>
          <w:szCs w:val="22"/>
        </w:rPr>
        <w:t>Elacestrant</w:t>
      </w:r>
      <w:proofErr w:type="spellEnd"/>
      <w:r w:rsidRPr="005B277E">
        <w:rPr>
          <w:rFonts w:ascii="Arial" w:hAnsi="Arial" w:cs="Arial"/>
          <w:bCs/>
          <w:sz w:val="22"/>
          <w:szCs w:val="22"/>
        </w:rPr>
        <w:t xml:space="preserve"> </w:t>
      </w:r>
      <w:r w:rsidR="00602CCA">
        <w:rPr>
          <w:rFonts w:ascii="Arial" w:hAnsi="Arial" w:cs="Arial"/>
          <w:bCs/>
          <w:sz w:val="22"/>
          <w:szCs w:val="22"/>
        </w:rPr>
        <w:t xml:space="preserve">ist </w:t>
      </w:r>
      <w:r w:rsidRPr="005B277E">
        <w:rPr>
          <w:rFonts w:ascii="Arial" w:hAnsi="Arial" w:cs="Arial"/>
          <w:bCs/>
          <w:sz w:val="22"/>
          <w:szCs w:val="22"/>
        </w:rPr>
        <w:t xml:space="preserve">die erste und einzige Therapie, die speziell für die Behandlung von ER+, HER2-Tumoren, die ESR1-Mutationen aufweisen, </w:t>
      </w:r>
      <w:r>
        <w:rPr>
          <w:rFonts w:ascii="Arial" w:hAnsi="Arial" w:cs="Arial"/>
          <w:bCs/>
          <w:sz w:val="22"/>
          <w:szCs w:val="22"/>
        </w:rPr>
        <w:t>zugelassen</w:t>
      </w:r>
      <w:r w:rsidRPr="005B277E">
        <w:rPr>
          <w:rFonts w:ascii="Arial" w:hAnsi="Arial" w:cs="Arial"/>
          <w:bCs/>
          <w:sz w:val="22"/>
          <w:szCs w:val="22"/>
        </w:rPr>
        <w:t xml:space="preserve"> ist.  ESR1-Mutationen sind erworbene Mutationen, die sich als Folge einer endokrinen Therapie entwickeln und bei bis zu 40 % der Patientinnen mit ER+, HER2- </w:t>
      </w:r>
      <w:r>
        <w:rPr>
          <w:rFonts w:ascii="Arial" w:hAnsi="Arial" w:cs="Arial"/>
          <w:bCs/>
          <w:sz w:val="22"/>
          <w:szCs w:val="22"/>
        </w:rPr>
        <w:t xml:space="preserve">fortgeschrittenem / metastasiertem </w:t>
      </w:r>
      <w:r w:rsidRPr="005B277E">
        <w:rPr>
          <w:rFonts w:ascii="Arial" w:hAnsi="Arial" w:cs="Arial"/>
          <w:bCs/>
          <w:sz w:val="22"/>
          <w:szCs w:val="22"/>
        </w:rPr>
        <w:t>BC auftreten.  ESR1-Mutationen sind eine bekannte Ursache für die Resistenz gegen endokrine Standardtherapien und bisher waren Tumore, die diese Mutationen aufweisen, schwieriger zu behandeln.</w:t>
      </w:r>
    </w:p>
    <w:p w:rsidR="006F03A9" w:rsidRDefault="006F03A9" w:rsidP="006F03A9">
      <w:pPr>
        <w:pStyle w:val="KeinAbsatzformat"/>
        <w:tabs>
          <w:tab w:val="left" w:pos="227"/>
          <w:tab w:val="left" w:pos="2260"/>
        </w:tabs>
        <w:suppressAutoHyphens/>
        <w:jc w:val="both"/>
        <w:rPr>
          <w:rFonts w:ascii="Arial" w:hAnsi="Arial" w:cs="Arial"/>
          <w:bCs/>
          <w:sz w:val="22"/>
          <w:szCs w:val="22"/>
        </w:rPr>
      </w:pPr>
    </w:p>
    <w:p w:rsidR="006F03A9" w:rsidRDefault="006F03A9" w:rsidP="006F03A9">
      <w:pPr>
        <w:pStyle w:val="KeinAbsatzformat"/>
        <w:tabs>
          <w:tab w:val="left" w:pos="227"/>
          <w:tab w:val="left" w:pos="2260"/>
        </w:tabs>
        <w:suppressAutoHyphens/>
        <w:jc w:val="both"/>
        <w:rPr>
          <w:rFonts w:ascii="Arial" w:hAnsi="Arial" w:cs="Arial"/>
          <w:bCs/>
          <w:sz w:val="22"/>
          <w:szCs w:val="22"/>
        </w:rPr>
      </w:pPr>
      <w:r>
        <w:rPr>
          <w:rFonts w:ascii="Arial" w:hAnsi="Arial" w:cs="Arial"/>
          <w:bCs/>
          <w:sz w:val="22"/>
          <w:szCs w:val="22"/>
        </w:rPr>
        <w:t xml:space="preserve">Während die ärztliche Leistungserbringung im Einheitlichen Bewertungsmaßstab (EBM) und in der </w:t>
      </w:r>
      <w:proofErr w:type="spellStart"/>
      <w:r>
        <w:rPr>
          <w:rFonts w:ascii="Arial" w:hAnsi="Arial" w:cs="Arial"/>
          <w:bCs/>
          <w:sz w:val="22"/>
          <w:szCs w:val="22"/>
        </w:rPr>
        <w:t>Onkologievereinbarung</w:t>
      </w:r>
      <w:proofErr w:type="spellEnd"/>
      <w:r>
        <w:rPr>
          <w:rFonts w:ascii="Arial" w:hAnsi="Arial" w:cs="Arial"/>
          <w:bCs/>
          <w:sz w:val="22"/>
          <w:szCs w:val="22"/>
        </w:rPr>
        <w:t xml:space="preserve"> abgebildet ist und dementsprechend abgerechnet wird, fehlt zum jetzigen Zeitpunkt eine EBM-Ziffer für die diagnostische Untersuchung der ESR1-Mutationen. Die Zulassung der EMA bedingt eine Untersuchung der ESR1-Mutation aus </w:t>
      </w:r>
      <w:proofErr w:type="spellStart"/>
      <w:r>
        <w:rPr>
          <w:rFonts w:ascii="Arial" w:hAnsi="Arial" w:cs="Arial"/>
          <w:bCs/>
          <w:sz w:val="22"/>
          <w:szCs w:val="22"/>
        </w:rPr>
        <w:t>ctDNA</w:t>
      </w:r>
      <w:proofErr w:type="spellEnd"/>
      <w:r>
        <w:rPr>
          <w:rFonts w:ascii="Arial" w:hAnsi="Arial" w:cs="Arial"/>
          <w:bCs/>
          <w:sz w:val="22"/>
          <w:szCs w:val="22"/>
        </w:rPr>
        <w:t xml:space="preserve"> (</w:t>
      </w:r>
      <w:proofErr w:type="spellStart"/>
      <w:r>
        <w:rPr>
          <w:rFonts w:ascii="Arial" w:hAnsi="Arial" w:cs="Arial"/>
          <w:bCs/>
          <w:sz w:val="22"/>
          <w:szCs w:val="22"/>
        </w:rPr>
        <w:t>circulating</w:t>
      </w:r>
      <w:proofErr w:type="spellEnd"/>
      <w:r>
        <w:rPr>
          <w:rFonts w:ascii="Arial" w:hAnsi="Arial" w:cs="Arial"/>
          <w:bCs/>
          <w:sz w:val="22"/>
          <w:szCs w:val="22"/>
        </w:rPr>
        <w:t xml:space="preserve"> </w:t>
      </w:r>
      <w:proofErr w:type="spellStart"/>
      <w:r>
        <w:rPr>
          <w:rFonts w:ascii="Arial" w:hAnsi="Arial" w:cs="Arial"/>
          <w:bCs/>
          <w:sz w:val="22"/>
          <w:szCs w:val="22"/>
        </w:rPr>
        <w:t>tumor</w:t>
      </w:r>
      <w:proofErr w:type="spellEnd"/>
      <w:r>
        <w:rPr>
          <w:rFonts w:ascii="Arial" w:hAnsi="Arial" w:cs="Arial"/>
          <w:bCs/>
          <w:sz w:val="22"/>
          <w:szCs w:val="22"/>
        </w:rPr>
        <w:t xml:space="preserve"> DNA). Aus diesem Grund erfolgt die Erstattung der Kosten gemäß § 13 Absatz 3 SGB V. </w:t>
      </w:r>
    </w:p>
    <w:p w:rsidR="006F03A9" w:rsidRDefault="006F03A9" w:rsidP="006F03A9">
      <w:pPr>
        <w:pStyle w:val="KeinAbsatzformat"/>
        <w:tabs>
          <w:tab w:val="left" w:pos="227"/>
          <w:tab w:val="left" w:pos="2260"/>
        </w:tabs>
        <w:suppressAutoHyphens/>
        <w:rPr>
          <w:rFonts w:ascii="Arial" w:hAnsi="Arial" w:cs="Arial"/>
          <w:sz w:val="22"/>
          <w:szCs w:val="22"/>
        </w:rPr>
      </w:pPr>
    </w:p>
    <w:p w:rsidR="006F03A9" w:rsidRDefault="006F03A9" w:rsidP="006F03A9">
      <w:pPr>
        <w:pStyle w:val="KeinAbsatzformat"/>
        <w:tabs>
          <w:tab w:val="left" w:pos="227"/>
          <w:tab w:val="left" w:pos="2260"/>
        </w:tabs>
        <w:suppressAutoHyphens/>
        <w:spacing w:after="50"/>
        <w:jc w:val="both"/>
        <w:rPr>
          <w:rFonts w:ascii="Arial" w:hAnsi="Arial" w:cs="Arial"/>
          <w:bCs/>
          <w:sz w:val="22"/>
          <w:szCs w:val="22"/>
        </w:rPr>
      </w:pPr>
      <w:r w:rsidRPr="00950179">
        <w:rPr>
          <w:rFonts w:ascii="Arial" w:hAnsi="Arial" w:cs="Arial"/>
          <w:bCs/>
          <w:sz w:val="22"/>
          <w:szCs w:val="22"/>
        </w:rPr>
        <w:t xml:space="preserve">Die </w:t>
      </w:r>
      <w:r>
        <w:rPr>
          <w:rFonts w:ascii="Arial" w:hAnsi="Arial" w:cs="Arial"/>
          <w:bCs/>
          <w:sz w:val="22"/>
          <w:szCs w:val="22"/>
        </w:rPr>
        <w:t>K</w:t>
      </w:r>
      <w:r w:rsidRPr="00950179">
        <w:rPr>
          <w:rFonts w:ascii="Arial" w:hAnsi="Arial" w:cs="Arial"/>
          <w:bCs/>
          <w:sz w:val="22"/>
          <w:szCs w:val="22"/>
        </w:rPr>
        <w:t xml:space="preserve">osten für </w:t>
      </w:r>
      <w:r>
        <w:rPr>
          <w:rFonts w:ascii="Arial" w:hAnsi="Arial" w:cs="Arial"/>
          <w:bCs/>
          <w:sz w:val="22"/>
          <w:szCs w:val="22"/>
        </w:rPr>
        <w:t xml:space="preserve">die Durchführung einer ESR1-Testung aus </w:t>
      </w:r>
      <w:proofErr w:type="spellStart"/>
      <w:r>
        <w:rPr>
          <w:rFonts w:ascii="Arial" w:hAnsi="Arial" w:cs="Arial"/>
          <w:bCs/>
          <w:sz w:val="22"/>
          <w:szCs w:val="22"/>
        </w:rPr>
        <w:t>ctDNA</w:t>
      </w:r>
      <w:proofErr w:type="spellEnd"/>
      <w:r>
        <w:rPr>
          <w:rFonts w:ascii="Arial" w:hAnsi="Arial" w:cs="Arial"/>
          <w:bCs/>
          <w:sz w:val="22"/>
          <w:szCs w:val="22"/>
        </w:rPr>
        <w:t xml:space="preserve"> betragen:</w:t>
      </w:r>
      <w:r w:rsidRPr="00950179">
        <w:rPr>
          <w:rFonts w:ascii="Arial" w:hAnsi="Arial" w:cs="Arial"/>
          <w:bCs/>
          <w:sz w:val="22"/>
          <w:szCs w:val="22"/>
        </w:rPr>
        <w:t xml:space="preserve"> </w:t>
      </w:r>
    </w:p>
    <w:tbl>
      <w:tblPr>
        <w:tblW w:w="10505" w:type="dxa"/>
        <w:tblInd w:w="55" w:type="dxa"/>
        <w:tblCellMar>
          <w:left w:w="70" w:type="dxa"/>
          <w:right w:w="70" w:type="dxa"/>
        </w:tblCellMar>
        <w:tblLook w:val="04A0" w:firstRow="1" w:lastRow="0" w:firstColumn="1" w:lastColumn="0" w:noHBand="0" w:noVBand="1"/>
      </w:tblPr>
      <w:tblGrid>
        <w:gridCol w:w="5544"/>
        <w:gridCol w:w="1701"/>
        <w:gridCol w:w="1559"/>
        <w:gridCol w:w="1701"/>
      </w:tblGrid>
      <w:tr w:rsidR="006F03A9" w:rsidRPr="001A71E3" w:rsidTr="00D81EF8">
        <w:trPr>
          <w:trHeight w:val="458"/>
        </w:trPr>
        <w:tc>
          <w:tcPr>
            <w:tcW w:w="5544" w:type="dxa"/>
            <w:tcBorders>
              <w:top w:val="single" w:sz="8" w:space="0" w:color="auto"/>
              <w:left w:val="single" w:sz="8" w:space="0" w:color="auto"/>
              <w:bottom w:val="nil"/>
              <w:right w:val="single" w:sz="4" w:space="0" w:color="auto"/>
            </w:tcBorders>
            <w:shd w:val="clear" w:color="auto" w:fill="auto"/>
            <w:vAlign w:val="center"/>
            <w:hideMark/>
          </w:tcPr>
          <w:p w:rsidR="006F03A9" w:rsidRPr="001A71E3" w:rsidRDefault="006F03A9" w:rsidP="00D81EF8">
            <w:pPr>
              <w:rPr>
                <w:rFonts w:ascii="Arial" w:hAnsi="Arial" w:cs="Arial"/>
                <w:b/>
                <w:bCs/>
                <w:color w:val="000000"/>
                <w:sz w:val="22"/>
                <w:szCs w:val="22"/>
                <w:lang w:eastAsia="de-DE"/>
              </w:rPr>
            </w:pPr>
            <w:r w:rsidRPr="001A71E3">
              <w:rPr>
                <w:rFonts w:ascii="Arial" w:hAnsi="Arial" w:cs="Arial"/>
                <w:b/>
                <w:bCs/>
                <w:color w:val="000000"/>
                <w:sz w:val="22"/>
                <w:szCs w:val="22"/>
                <w:lang w:eastAsia="de-DE"/>
              </w:rPr>
              <w:t>Leistung</w:t>
            </w:r>
          </w:p>
        </w:tc>
        <w:tc>
          <w:tcPr>
            <w:tcW w:w="1701" w:type="dxa"/>
            <w:tcBorders>
              <w:top w:val="single" w:sz="8" w:space="0" w:color="auto"/>
              <w:left w:val="nil"/>
              <w:bottom w:val="nil"/>
              <w:right w:val="single" w:sz="4" w:space="0" w:color="auto"/>
            </w:tcBorders>
            <w:shd w:val="clear" w:color="auto" w:fill="auto"/>
            <w:vAlign w:val="center"/>
            <w:hideMark/>
          </w:tcPr>
          <w:p w:rsidR="006F03A9" w:rsidRPr="001A71E3" w:rsidRDefault="006F03A9" w:rsidP="00D81EF8">
            <w:pPr>
              <w:jc w:val="center"/>
              <w:rPr>
                <w:rFonts w:ascii="Arial" w:hAnsi="Arial" w:cs="Arial"/>
                <w:b/>
                <w:bCs/>
                <w:color w:val="000000"/>
                <w:sz w:val="22"/>
                <w:szCs w:val="22"/>
                <w:lang w:eastAsia="de-DE"/>
              </w:rPr>
            </w:pPr>
            <w:r w:rsidRPr="001A71E3">
              <w:rPr>
                <w:rFonts w:ascii="Arial" w:hAnsi="Arial" w:cs="Arial"/>
                <w:b/>
                <w:bCs/>
                <w:color w:val="000000"/>
                <w:sz w:val="22"/>
                <w:szCs w:val="22"/>
                <w:lang w:eastAsia="de-DE"/>
              </w:rPr>
              <w:t>Gebühr</w:t>
            </w:r>
          </w:p>
        </w:tc>
        <w:tc>
          <w:tcPr>
            <w:tcW w:w="1559" w:type="dxa"/>
            <w:tcBorders>
              <w:top w:val="single" w:sz="8" w:space="0" w:color="auto"/>
              <w:left w:val="nil"/>
              <w:bottom w:val="nil"/>
              <w:right w:val="single" w:sz="4" w:space="0" w:color="auto"/>
            </w:tcBorders>
            <w:shd w:val="clear" w:color="auto" w:fill="auto"/>
            <w:vAlign w:val="center"/>
            <w:hideMark/>
          </w:tcPr>
          <w:p w:rsidR="006F03A9" w:rsidRPr="001A71E3" w:rsidRDefault="006F03A9" w:rsidP="00D81EF8">
            <w:pPr>
              <w:jc w:val="center"/>
              <w:rPr>
                <w:rFonts w:ascii="Arial" w:hAnsi="Arial" w:cs="Arial"/>
                <w:b/>
                <w:bCs/>
                <w:color w:val="000000"/>
                <w:sz w:val="22"/>
                <w:szCs w:val="22"/>
                <w:lang w:eastAsia="de-DE"/>
              </w:rPr>
            </w:pPr>
            <w:r>
              <w:rPr>
                <w:rFonts w:ascii="Arial" w:hAnsi="Arial" w:cs="Arial"/>
                <w:b/>
                <w:bCs/>
                <w:color w:val="000000"/>
                <w:sz w:val="22"/>
                <w:szCs w:val="22"/>
                <w:lang w:eastAsia="de-DE"/>
              </w:rPr>
              <w:t>Einheit</w:t>
            </w:r>
          </w:p>
        </w:tc>
        <w:tc>
          <w:tcPr>
            <w:tcW w:w="1701" w:type="dxa"/>
            <w:tcBorders>
              <w:top w:val="single" w:sz="8" w:space="0" w:color="auto"/>
              <w:left w:val="nil"/>
              <w:bottom w:val="nil"/>
              <w:right w:val="single" w:sz="8" w:space="0" w:color="auto"/>
            </w:tcBorders>
            <w:shd w:val="clear" w:color="auto" w:fill="auto"/>
            <w:vAlign w:val="center"/>
            <w:hideMark/>
          </w:tcPr>
          <w:p w:rsidR="006F03A9" w:rsidRPr="001A71E3" w:rsidRDefault="006F03A9" w:rsidP="00D81EF8">
            <w:pPr>
              <w:jc w:val="center"/>
              <w:rPr>
                <w:rFonts w:ascii="Arial" w:hAnsi="Arial" w:cs="Arial"/>
                <w:b/>
                <w:bCs/>
                <w:color w:val="000000"/>
                <w:sz w:val="22"/>
                <w:szCs w:val="22"/>
                <w:lang w:eastAsia="de-DE"/>
              </w:rPr>
            </w:pPr>
            <w:r w:rsidRPr="001A71E3">
              <w:rPr>
                <w:rFonts w:ascii="Arial" w:hAnsi="Arial" w:cs="Arial"/>
                <w:b/>
                <w:bCs/>
                <w:color w:val="000000"/>
                <w:sz w:val="22"/>
                <w:szCs w:val="22"/>
                <w:lang w:eastAsia="de-DE"/>
              </w:rPr>
              <w:t>Betrag</w:t>
            </w:r>
          </w:p>
        </w:tc>
      </w:tr>
      <w:tr w:rsidR="006F03A9" w:rsidRPr="001A71E3" w:rsidTr="00D81EF8">
        <w:trPr>
          <w:trHeight w:val="550"/>
        </w:trPr>
        <w:tc>
          <w:tcPr>
            <w:tcW w:w="554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F03A9" w:rsidRPr="00F05A0F" w:rsidRDefault="006F03A9" w:rsidP="00D81EF8">
            <w:pPr>
              <w:rPr>
                <w:rFonts w:ascii="Arial" w:hAnsi="Arial" w:cs="Arial"/>
                <w:caps/>
                <w:color w:val="000000"/>
                <w:sz w:val="19"/>
                <w:szCs w:val="19"/>
                <w:vertAlign w:val="superscript"/>
                <w:lang w:eastAsia="de-DE"/>
              </w:rPr>
            </w:pPr>
            <w:r w:rsidRPr="00F05A0F">
              <w:rPr>
                <w:rFonts w:ascii="Arial" w:hAnsi="Arial" w:cs="Arial"/>
                <w:color w:val="000000"/>
                <w:sz w:val="19"/>
                <w:szCs w:val="19"/>
                <w:lang w:eastAsia="de-DE"/>
              </w:rPr>
              <w:t xml:space="preserve">Kosten </w:t>
            </w:r>
            <w:r>
              <w:rPr>
                <w:rFonts w:ascii="Arial" w:hAnsi="Arial" w:cs="Arial"/>
                <w:color w:val="000000"/>
                <w:sz w:val="19"/>
                <w:szCs w:val="19"/>
                <w:lang w:eastAsia="de-DE"/>
              </w:rPr>
              <w:t>für das Diagnostikset</w:t>
            </w:r>
          </w:p>
          <w:p w:rsidR="006F03A9" w:rsidRPr="00F05A0F" w:rsidRDefault="006F03A9" w:rsidP="00D81EF8">
            <w:pPr>
              <w:rPr>
                <w:rFonts w:ascii="Arial" w:hAnsi="Arial" w:cs="Arial"/>
                <w:color w:val="000000"/>
                <w:sz w:val="19"/>
                <w:szCs w:val="19"/>
                <w:lang w:eastAsia="de-DE"/>
              </w:rPr>
            </w:pPr>
            <w:r w:rsidRPr="00F05A0F">
              <w:rPr>
                <w:rFonts w:ascii="Arial" w:hAnsi="Arial" w:cs="Arial"/>
                <w:color w:val="000000"/>
                <w:sz w:val="19"/>
                <w:szCs w:val="19"/>
                <w:lang w:eastAsia="de-DE"/>
              </w:rPr>
              <w:t xml:space="preserve"> (Bruttoverkaufspreis des Herstellers)</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6F03A9" w:rsidRPr="001A71E3" w:rsidRDefault="006F03A9" w:rsidP="00D81EF8">
            <w:pPr>
              <w:jc w:val="right"/>
              <w:rPr>
                <w:rFonts w:ascii="Arial" w:hAnsi="Arial" w:cs="Arial"/>
                <w:color w:val="000000"/>
                <w:szCs w:val="22"/>
                <w:lang w:eastAsia="de-DE"/>
              </w:rPr>
            </w:pPr>
            <w:r>
              <w:rPr>
                <w:rFonts w:ascii="Arial" w:hAnsi="Arial" w:cs="Arial"/>
                <w:color w:val="000000"/>
                <w:szCs w:val="22"/>
                <w:lang w:eastAsia="de-DE"/>
              </w:rPr>
              <w:t>300</w:t>
            </w:r>
            <w:r w:rsidRPr="001A71E3">
              <w:rPr>
                <w:rFonts w:ascii="Arial" w:hAnsi="Arial" w:cs="Arial"/>
                <w:color w:val="000000"/>
                <w:szCs w:val="22"/>
                <w:lang w:eastAsia="de-DE"/>
              </w:rPr>
              <w:t>,</w:t>
            </w:r>
            <w:r>
              <w:rPr>
                <w:rFonts w:ascii="Arial" w:hAnsi="Arial" w:cs="Arial"/>
                <w:color w:val="000000"/>
                <w:szCs w:val="22"/>
                <w:lang w:eastAsia="de-DE"/>
              </w:rPr>
              <w:t>12</w:t>
            </w:r>
            <w:r w:rsidRPr="001A71E3">
              <w:rPr>
                <w:rFonts w:ascii="Arial" w:hAnsi="Arial" w:cs="Arial"/>
                <w:color w:val="000000"/>
                <w:szCs w:val="22"/>
                <w:lang w:eastAsia="de-DE"/>
              </w:rPr>
              <w:t xml:space="preserve"> €</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6F03A9" w:rsidRPr="001A71E3" w:rsidRDefault="006F03A9" w:rsidP="00D81EF8">
            <w:pPr>
              <w:jc w:val="center"/>
              <w:rPr>
                <w:rFonts w:ascii="Arial" w:hAnsi="Arial" w:cs="Arial"/>
                <w:color w:val="000000"/>
                <w:szCs w:val="22"/>
                <w:lang w:eastAsia="de-DE"/>
              </w:rPr>
            </w:pPr>
            <w:r>
              <w:rPr>
                <w:rFonts w:ascii="Arial" w:hAnsi="Arial" w:cs="Arial"/>
                <w:color w:val="000000"/>
                <w:szCs w:val="22"/>
                <w:lang w:eastAsia="de-DE"/>
              </w:rPr>
              <w:t>1,0</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6F03A9" w:rsidRPr="001A71E3" w:rsidRDefault="006F03A9" w:rsidP="00D81EF8">
            <w:pPr>
              <w:jc w:val="right"/>
              <w:rPr>
                <w:rFonts w:ascii="Arial" w:hAnsi="Arial" w:cs="Arial"/>
                <w:color w:val="000000"/>
                <w:szCs w:val="22"/>
                <w:lang w:eastAsia="de-DE"/>
              </w:rPr>
            </w:pPr>
            <w:r>
              <w:rPr>
                <w:rFonts w:ascii="Arial" w:hAnsi="Arial" w:cs="Arial"/>
                <w:color w:val="000000"/>
                <w:szCs w:val="22"/>
                <w:lang w:eastAsia="de-DE"/>
              </w:rPr>
              <w:t>300,12</w:t>
            </w:r>
            <w:r w:rsidRPr="001A71E3">
              <w:rPr>
                <w:rFonts w:ascii="Arial" w:hAnsi="Arial" w:cs="Arial"/>
                <w:color w:val="000000"/>
                <w:szCs w:val="22"/>
                <w:lang w:eastAsia="de-DE"/>
              </w:rPr>
              <w:t xml:space="preserve"> €</w:t>
            </w:r>
          </w:p>
        </w:tc>
      </w:tr>
      <w:tr w:rsidR="006F03A9" w:rsidRPr="001A71E3" w:rsidTr="00D81EF8">
        <w:trPr>
          <w:trHeight w:val="413"/>
        </w:trPr>
        <w:tc>
          <w:tcPr>
            <w:tcW w:w="5544" w:type="dxa"/>
            <w:tcBorders>
              <w:top w:val="nil"/>
              <w:left w:val="single" w:sz="8" w:space="0" w:color="auto"/>
              <w:bottom w:val="single" w:sz="4" w:space="0" w:color="auto"/>
              <w:right w:val="single" w:sz="4" w:space="0" w:color="auto"/>
            </w:tcBorders>
            <w:shd w:val="clear" w:color="auto" w:fill="auto"/>
            <w:vAlign w:val="center"/>
          </w:tcPr>
          <w:p w:rsidR="006F03A9" w:rsidRPr="00F05A0F" w:rsidRDefault="006F03A9" w:rsidP="00D81EF8">
            <w:pPr>
              <w:rPr>
                <w:rFonts w:ascii="Arial" w:hAnsi="Arial" w:cs="Arial"/>
                <w:color w:val="000000"/>
                <w:sz w:val="19"/>
                <w:szCs w:val="19"/>
                <w:lang w:eastAsia="de-DE"/>
              </w:rPr>
            </w:pPr>
            <w:r w:rsidRPr="00F05A0F">
              <w:rPr>
                <w:rFonts w:ascii="Arial" w:hAnsi="Arial" w:cs="Arial"/>
                <w:color w:val="000000"/>
                <w:sz w:val="19"/>
                <w:szCs w:val="19"/>
                <w:lang w:eastAsia="de-DE"/>
              </w:rPr>
              <w:t xml:space="preserve">Kosten für die Durchführung </w:t>
            </w:r>
            <w:r>
              <w:rPr>
                <w:rFonts w:ascii="Arial" w:hAnsi="Arial" w:cs="Arial"/>
                <w:color w:val="000000"/>
                <w:sz w:val="19"/>
                <w:szCs w:val="19"/>
                <w:lang w:eastAsia="de-DE"/>
              </w:rPr>
              <w:t xml:space="preserve">der Liquid </w:t>
            </w:r>
            <w:proofErr w:type="spellStart"/>
            <w:r>
              <w:rPr>
                <w:rFonts w:ascii="Arial" w:hAnsi="Arial" w:cs="Arial"/>
                <w:color w:val="000000"/>
                <w:sz w:val="19"/>
                <w:szCs w:val="19"/>
                <w:lang w:eastAsia="de-DE"/>
              </w:rPr>
              <w:t>Biopsy</w:t>
            </w:r>
            <w:proofErr w:type="spellEnd"/>
          </w:p>
        </w:tc>
        <w:tc>
          <w:tcPr>
            <w:tcW w:w="4961" w:type="dxa"/>
            <w:gridSpan w:val="3"/>
            <w:tcBorders>
              <w:top w:val="nil"/>
              <w:left w:val="nil"/>
              <w:bottom w:val="single" w:sz="4" w:space="0" w:color="auto"/>
              <w:right w:val="single" w:sz="8" w:space="0" w:color="000000"/>
            </w:tcBorders>
            <w:shd w:val="clear" w:color="auto" w:fill="auto"/>
            <w:vAlign w:val="center"/>
          </w:tcPr>
          <w:p w:rsidR="006F03A9" w:rsidRPr="001A71E3" w:rsidRDefault="006F03A9" w:rsidP="00D81EF8">
            <w:pPr>
              <w:jc w:val="right"/>
              <w:rPr>
                <w:rFonts w:ascii="Arial" w:hAnsi="Arial" w:cs="Arial"/>
                <w:color w:val="000000"/>
                <w:szCs w:val="22"/>
                <w:lang w:eastAsia="de-DE"/>
              </w:rPr>
            </w:pPr>
            <w:r>
              <w:rPr>
                <w:rFonts w:ascii="Arial" w:hAnsi="Arial" w:cs="Arial"/>
                <w:color w:val="000000"/>
                <w:szCs w:val="22"/>
                <w:lang w:eastAsia="de-DE"/>
              </w:rPr>
              <w:t>537,</w:t>
            </w:r>
            <w:proofErr w:type="gramStart"/>
            <w:r>
              <w:rPr>
                <w:rFonts w:ascii="Arial" w:hAnsi="Arial" w:cs="Arial"/>
                <w:color w:val="000000"/>
                <w:szCs w:val="22"/>
                <w:lang w:eastAsia="de-DE"/>
              </w:rPr>
              <w:t>81</w:t>
            </w:r>
            <w:r w:rsidRPr="001A71E3">
              <w:rPr>
                <w:rFonts w:ascii="Arial" w:hAnsi="Arial" w:cs="Arial"/>
                <w:color w:val="000000"/>
                <w:szCs w:val="22"/>
                <w:lang w:eastAsia="de-DE"/>
              </w:rPr>
              <w:t xml:space="preserve"> </w:t>
            </w:r>
            <w:r>
              <w:rPr>
                <w:rFonts w:ascii="Arial" w:hAnsi="Arial" w:cs="Arial"/>
                <w:color w:val="000000"/>
                <w:szCs w:val="22"/>
                <w:lang w:eastAsia="de-DE"/>
              </w:rPr>
              <w:t xml:space="preserve"> €</w:t>
            </w:r>
            <w:proofErr w:type="gramEnd"/>
          </w:p>
        </w:tc>
      </w:tr>
      <w:tr w:rsidR="006F03A9" w:rsidRPr="001A71E3" w:rsidTr="00D81EF8">
        <w:trPr>
          <w:trHeight w:val="418"/>
        </w:trPr>
        <w:tc>
          <w:tcPr>
            <w:tcW w:w="5544" w:type="dxa"/>
            <w:tcBorders>
              <w:top w:val="nil"/>
              <w:left w:val="single" w:sz="8" w:space="0" w:color="auto"/>
              <w:bottom w:val="single" w:sz="8" w:space="0" w:color="auto"/>
              <w:right w:val="single" w:sz="4" w:space="0" w:color="auto"/>
            </w:tcBorders>
            <w:shd w:val="clear" w:color="auto" w:fill="auto"/>
            <w:vAlign w:val="center"/>
            <w:hideMark/>
          </w:tcPr>
          <w:p w:rsidR="006F03A9" w:rsidRPr="00F05A0F" w:rsidRDefault="006F03A9" w:rsidP="00D81EF8">
            <w:pPr>
              <w:rPr>
                <w:rFonts w:ascii="Arial" w:hAnsi="Arial" w:cs="Arial"/>
                <w:b/>
                <w:color w:val="000000"/>
                <w:sz w:val="19"/>
                <w:szCs w:val="19"/>
                <w:lang w:eastAsia="de-DE"/>
              </w:rPr>
            </w:pPr>
            <w:r w:rsidRPr="00F05A0F">
              <w:rPr>
                <w:rFonts w:ascii="Arial" w:hAnsi="Arial" w:cs="Arial"/>
                <w:b/>
                <w:color w:val="000000"/>
                <w:szCs w:val="19"/>
                <w:lang w:eastAsia="de-DE"/>
              </w:rPr>
              <w:t xml:space="preserve">Gesamtbetrag </w:t>
            </w:r>
          </w:p>
        </w:tc>
        <w:tc>
          <w:tcPr>
            <w:tcW w:w="4961" w:type="dxa"/>
            <w:gridSpan w:val="3"/>
            <w:tcBorders>
              <w:top w:val="single" w:sz="4" w:space="0" w:color="auto"/>
              <w:left w:val="nil"/>
              <w:bottom w:val="single" w:sz="8" w:space="0" w:color="auto"/>
              <w:right w:val="single" w:sz="8" w:space="0" w:color="000000"/>
            </w:tcBorders>
            <w:shd w:val="clear" w:color="auto" w:fill="auto"/>
            <w:vAlign w:val="center"/>
            <w:hideMark/>
          </w:tcPr>
          <w:p w:rsidR="006F03A9" w:rsidRPr="00C44D7F" w:rsidRDefault="006F03A9" w:rsidP="00D81EF8">
            <w:pPr>
              <w:jc w:val="right"/>
              <w:rPr>
                <w:rFonts w:ascii="Arial" w:hAnsi="Arial" w:cs="Arial"/>
                <w:b/>
                <w:color w:val="000000"/>
                <w:sz w:val="22"/>
                <w:szCs w:val="22"/>
                <w:lang w:eastAsia="de-DE"/>
              </w:rPr>
            </w:pPr>
            <w:r>
              <w:rPr>
                <w:rFonts w:ascii="Arial" w:hAnsi="Arial" w:cs="Arial"/>
                <w:b/>
                <w:color w:val="000000"/>
                <w:sz w:val="22"/>
                <w:szCs w:val="22"/>
                <w:lang w:eastAsia="de-DE"/>
              </w:rPr>
              <w:t>837,93</w:t>
            </w:r>
            <w:r w:rsidRPr="00C44D7F">
              <w:rPr>
                <w:rFonts w:ascii="Arial" w:hAnsi="Arial" w:cs="Arial"/>
                <w:b/>
                <w:color w:val="000000"/>
                <w:sz w:val="22"/>
                <w:szCs w:val="22"/>
                <w:lang w:eastAsia="de-DE"/>
              </w:rPr>
              <w:t xml:space="preserve"> €</w:t>
            </w:r>
          </w:p>
        </w:tc>
      </w:tr>
    </w:tbl>
    <w:p w:rsidR="006F03A9" w:rsidRDefault="006F03A9" w:rsidP="006F03A9">
      <w:pPr>
        <w:autoSpaceDE w:val="0"/>
        <w:autoSpaceDN w:val="0"/>
        <w:adjustRightInd w:val="0"/>
        <w:jc w:val="both"/>
        <w:rPr>
          <w:rFonts w:ascii="Arial-BoldMT" w:hAnsi="Arial-BoldMT" w:cs="Arial-BoldMT"/>
          <w:bCs/>
          <w:sz w:val="22"/>
          <w:szCs w:val="22"/>
        </w:rPr>
      </w:pPr>
    </w:p>
    <w:p w:rsidR="006F03A9" w:rsidRDefault="006F03A9" w:rsidP="006F03A9">
      <w:pPr>
        <w:pStyle w:val="KeinAbsatzformat"/>
        <w:tabs>
          <w:tab w:val="left" w:pos="227"/>
          <w:tab w:val="left" w:pos="2260"/>
        </w:tabs>
        <w:suppressAutoHyphens/>
        <w:jc w:val="both"/>
        <w:rPr>
          <w:rFonts w:ascii="Arial" w:hAnsi="Arial" w:cs="Arial"/>
          <w:bCs/>
          <w:sz w:val="22"/>
          <w:szCs w:val="22"/>
        </w:rPr>
      </w:pPr>
      <w:r w:rsidRPr="00F272EB">
        <w:rPr>
          <w:rFonts w:ascii="Arial" w:hAnsi="Arial" w:cs="Arial"/>
          <w:bCs/>
          <w:sz w:val="22"/>
          <w:szCs w:val="22"/>
        </w:rPr>
        <w:t xml:space="preserve">Im vorliegenden Fall besteht Anspruch auf die Versorgung mit </w:t>
      </w:r>
      <w:proofErr w:type="spellStart"/>
      <w:r w:rsidR="002B5707">
        <w:rPr>
          <w:rFonts w:ascii="Arial" w:hAnsi="Arial" w:cs="Arial"/>
          <w:bCs/>
          <w:sz w:val="22"/>
          <w:szCs w:val="22"/>
        </w:rPr>
        <w:t>Elacestrant</w:t>
      </w:r>
      <w:proofErr w:type="spellEnd"/>
      <w:r w:rsidRPr="00F272EB">
        <w:rPr>
          <w:rFonts w:ascii="Arial" w:hAnsi="Arial" w:cs="Arial"/>
          <w:bCs/>
          <w:sz w:val="22"/>
          <w:szCs w:val="22"/>
        </w:rPr>
        <w:t xml:space="preserve"> gemäß §§ 27 Absatz 1 Satz 2 Nr.3, 31 Absatz 1 SGB V, da es sich bei </w:t>
      </w:r>
      <w:proofErr w:type="spellStart"/>
      <w:r w:rsidR="002B5707">
        <w:rPr>
          <w:rFonts w:ascii="Arial" w:hAnsi="Arial" w:cs="Arial"/>
          <w:bCs/>
          <w:sz w:val="22"/>
          <w:szCs w:val="22"/>
        </w:rPr>
        <w:t>Elacestrant</w:t>
      </w:r>
      <w:proofErr w:type="spellEnd"/>
      <w:r w:rsidRPr="00F272EB">
        <w:rPr>
          <w:rFonts w:ascii="Arial" w:hAnsi="Arial" w:cs="Arial"/>
          <w:bCs/>
          <w:sz w:val="22"/>
          <w:szCs w:val="22"/>
        </w:rPr>
        <w:t xml:space="preserve"> um ein </w:t>
      </w:r>
      <w:r>
        <w:rPr>
          <w:rFonts w:ascii="Arial" w:hAnsi="Arial" w:cs="Arial"/>
          <w:bCs/>
          <w:sz w:val="22"/>
          <w:szCs w:val="22"/>
        </w:rPr>
        <w:t>verschreibungspflichtiges</w:t>
      </w:r>
      <w:r w:rsidRPr="00F272EB">
        <w:rPr>
          <w:rFonts w:ascii="Arial" w:hAnsi="Arial" w:cs="Arial"/>
          <w:bCs/>
          <w:sz w:val="22"/>
          <w:szCs w:val="22"/>
        </w:rPr>
        <w:t xml:space="preserve"> und nicht von der GKV-Versorgung ausgeschlossenes Arzneimittel handelt. Die </w:t>
      </w:r>
      <w:r>
        <w:rPr>
          <w:rFonts w:ascii="Arial" w:hAnsi="Arial" w:cs="Arial"/>
          <w:bCs/>
          <w:sz w:val="22"/>
          <w:szCs w:val="22"/>
        </w:rPr>
        <w:t xml:space="preserve">Durchführung einer Liquid </w:t>
      </w:r>
      <w:proofErr w:type="spellStart"/>
      <w:r>
        <w:rPr>
          <w:rFonts w:ascii="Arial" w:hAnsi="Arial" w:cs="Arial"/>
          <w:bCs/>
          <w:sz w:val="22"/>
          <w:szCs w:val="22"/>
        </w:rPr>
        <w:t>Biopsy</w:t>
      </w:r>
      <w:proofErr w:type="spellEnd"/>
      <w:r w:rsidRPr="00F272EB">
        <w:rPr>
          <w:rFonts w:ascii="Arial" w:hAnsi="Arial" w:cs="Arial"/>
          <w:bCs/>
          <w:sz w:val="22"/>
          <w:szCs w:val="22"/>
        </w:rPr>
        <w:t xml:space="preserve"> für den o.g. Patienten erfolgt bestimmungsgemäß</w:t>
      </w:r>
      <w:r w:rsidR="002B5707">
        <w:rPr>
          <w:rFonts w:ascii="Arial" w:hAnsi="Arial" w:cs="Arial"/>
          <w:bCs/>
          <w:sz w:val="22"/>
          <w:szCs w:val="22"/>
        </w:rPr>
        <w:t>, ggf. wiederholt</w:t>
      </w:r>
      <w:r>
        <w:rPr>
          <w:rFonts w:ascii="Arial" w:hAnsi="Arial" w:cs="Arial"/>
          <w:bCs/>
          <w:sz w:val="22"/>
          <w:szCs w:val="22"/>
        </w:rPr>
        <w:t xml:space="preserve"> und innerhalb der zugelassenen Indikation</w:t>
      </w:r>
      <w:r w:rsidRPr="00F272EB">
        <w:rPr>
          <w:rFonts w:ascii="Arial" w:hAnsi="Arial" w:cs="Arial"/>
          <w:bCs/>
          <w:sz w:val="22"/>
          <w:szCs w:val="22"/>
        </w:rPr>
        <w:t xml:space="preserve">. </w:t>
      </w:r>
      <w:r>
        <w:rPr>
          <w:rFonts w:ascii="Arial" w:hAnsi="Arial" w:cs="Arial"/>
          <w:bCs/>
          <w:sz w:val="22"/>
          <w:szCs w:val="22"/>
        </w:rPr>
        <w:t>Folgende Diagnostik für den fortschreitenden metastasierten Status bei der Patientin/dem Patienten wurden bis zum Zeitpunkt der Antragstellung durchgeführt</w:t>
      </w:r>
      <w:r w:rsidRPr="00F272EB">
        <w:rPr>
          <w:rFonts w:ascii="Arial" w:hAnsi="Arial" w:cs="Arial"/>
          <w:bCs/>
          <w:sz w:val="22"/>
          <w:szCs w:val="22"/>
        </w:rPr>
        <w:t>:</w:t>
      </w:r>
    </w:p>
    <w:p w:rsidR="006F03A9" w:rsidRDefault="006F03A9" w:rsidP="006F03A9">
      <w:pPr>
        <w:pStyle w:val="KeinAbsatzformat"/>
        <w:tabs>
          <w:tab w:val="left" w:pos="227"/>
          <w:tab w:val="left" w:pos="2260"/>
        </w:tabs>
        <w:suppressAutoHyphens/>
        <w:jc w:val="both"/>
        <w:rPr>
          <w:rFonts w:ascii="Arial" w:hAnsi="Arial" w:cs="Arial"/>
          <w:bCs/>
          <w:sz w:val="22"/>
          <w:szCs w:val="22"/>
        </w:rPr>
      </w:pPr>
    </w:p>
    <w:p w:rsidR="006F03A9" w:rsidRDefault="006F03A9" w:rsidP="006F03A9">
      <w:pPr>
        <w:pStyle w:val="KeinAbsatzformat"/>
        <w:tabs>
          <w:tab w:val="left" w:pos="227"/>
          <w:tab w:val="left" w:pos="2260"/>
        </w:tabs>
        <w:suppressAutoHyphen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Testung 1</w:t>
      </w:r>
    </w:p>
    <w:p w:rsidR="006F03A9" w:rsidRDefault="006F03A9" w:rsidP="006F03A9">
      <w:pPr>
        <w:pStyle w:val="KeinAbsatzformat"/>
        <w:tabs>
          <w:tab w:val="left" w:pos="227"/>
          <w:tab w:val="left" w:pos="2260"/>
        </w:tabs>
        <w:suppressAutoHyphen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Testung 2</w:t>
      </w:r>
    </w:p>
    <w:p w:rsidR="006F03A9" w:rsidRDefault="006F03A9" w:rsidP="006F03A9">
      <w:pPr>
        <w:pStyle w:val="KeinAbsatzformat"/>
        <w:tabs>
          <w:tab w:val="left" w:pos="227"/>
          <w:tab w:val="left" w:pos="2260"/>
        </w:tabs>
        <w:suppressAutoHyphen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Testung 3</w:t>
      </w:r>
    </w:p>
    <w:p w:rsidR="006F03A9" w:rsidRDefault="006F03A9" w:rsidP="006F03A9">
      <w:pPr>
        <w:pStyle w:val="KeinAbsatzformat"/>
        <w:tabs>
          <w:tab w:val="left" w:pos="227"/>
          <w:tab w:val="left" w:pos="2260"/>
        </w:tabs>
        <w:suppressAutoHyphen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rsidR="006F03A9" w:rsidRDefault="006F03A9" w:rsidP="006F03A9">
      <w:pPr>
        <w:pStyle w:val="KeinAbsatzformat"/>
        <w:tabs>
          <w:tab w:val="left" w:pos="227"/>
          <w:tab w:val="left" w:pos="2260"/>
        </w:tabs>
        <w:suppressAutoHyphen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____________________________________</w:t>
      </w:r>
    </w:p>
    <w:p w:rsidR="006F03A9" w:rsidRDefault="006F03A9" w:rsidP="006F03A9">
      <w:pPr>
        <w:autoSpaceDE w:val="0"/>
        <w:autoSpaceDN w:val="0"/>
        <w:adjustRightInd w:val="0"/>
        <w:jc w:val="both"/>
        <w:rPr>
          <w:rFonts w:ascii="Arial-BoldMT" w:hAnsi="Arial-BoldMT" w:cs="Arial-BoldMT"/>
          <w:bCs/>
          <w:sz w:val="22"/>
          <w:szCs w:val="22"/>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5374"/>
      </w:tblGrid>
      <w:tr w:rsidR="006F03A9" w:rsidRPr="00950179" w:rsidTr="00D81EF8">
        <w:trPr>
          <w:trHeight w:val="614"/>
          <w:jc w:val="center"/>
        </w:trPr>
        <w:tc>
          <w:tcPr>
            <w:tcW w:w="5121" w:type="dxa"/>
          </w:tcPr>
          <w:p w:rsidR="006F03A9" w:rsidRPr="00950179" w:rsidRDefault="006F03A9" w:rsidP="00D81EF8">
            <w:pPr>
              <w:pStyle w:val="KeinAbsatzformat"/>
              <w:tabs>
                <w:tab w:val="left" w:pos="227"/>
                <w:tab w:val="left" w:pos="2260"/>
              </w:tabs>
              <w:suppressAutoHyphens/>
              <w:spacing w:after="50"/>
              <w:rPr>
                <w:rFonts w:ascii="Arial" w:hAnsi="Arial" w:cs="Arial"/>
                <w:sz w:val="22"/>
                <w:szCs w:val="22"/>
                <w:lang w:val="de-CH"/>
              </w:rPr>
            </w:pPr>
            <w:r w:rsidRPr="00950179">
              <w:rPr>
                <w:rFonts w:ascii="Arial" w:hAnsi="Arial" w:cs="Arial"/>
                <w:sz w:val="22"/>
                <w:szCs w:val="22"/>
                <w:lang w:val="de-CH"/>
              </w:rPr>
              <w:t>Ort, Datum</w:t>
            </w:r>
          </w:p>
          <w:p w:rsidR="006F03A9" w:rsidRPr="00950179" w:rsidRDefault="006F03A9" w:rsidP="00D81EF8">
            <w:pPr>
              <w:pStyle w:val="KeinAbsatzformat"/>
              <w:tabs>
                <w:tab w:val="left" w:pos="227"/>
                <w:tab w:val="left" w:pos="2260"/>
              </w:tabs>
              <w:suppressAutoHyphens/>
              <w:spacing w:after="50"/>
              <w:rPr>
                <w:rFonts w:ascii="Arial" w:hAnsi="Arial" w:cs="Arial"/>
                <w:sz w:val="22"/>
                <w:szCs w:val="22"/>
                <w:lang w:val="de-CH"/>
              </w:rPr>
            </w:pPr>
          </w:p>
        </w:tc>
        <w:tc>
          <w:tcPr>
            <w:tcW w:w="5374" w:type="dxa"/>
            <w:vMerge w:val="restart"/>
          </w:tcPr>
          <w:p w:rsidR="006F03A9" w:rsidRPr="00950179" w:rsidRDefault="006F03A9" w:rsidP="00D81EF8">
            <w:pPr>
              <w:pStyle w:val="KeinAbsatzformat"/>
              <w:tabs>
                <w:tab w:val="left" w:pos="227"/>
                <w:tab w:val="left" w:pos="2260"/>
              </w:tabs>
              <w:suppressAutoHyphens/>
              <w:spacing w:after="50"/>
              <w:rPr>
                <w:rFonts w:ascii="Arial" w:hAnsi="Arial" w:cs="Arial"/>
                <w:sz w:val="22"/>
                <w:szCs w:val="22"/>
                <w:lang w:val="de-CH"/>
              </w:rPr>
            </w:pPr>
            <w:r w:rsidRPr="00950179">
              <w:rPr>
                <w:rFonts w:ascii="Arial" w:hAnsi="Arial" w:cs="Arial"/>
                <w:sz w:val="22"/>
                <w:szCs w:val="22"/>
                <w:lang w:val="de-CH"/>
              </w:rPr>
              <w:t>Arztstempel</w:t>
            </w:r>
            <w:r>
              <w:rPr>
                <w:rFonts w:ascii="Arial" w:hAnsi="Arial" w:cs="Arial"/>
                <w:sz w:val="22"/>
                <w:szCs w:val="22"/>
                <w:lang w:val="de-CH"/>
              </w:rPr>
              <w:t xml:space="preserve"> und Unterschrift des Arztes</w:t>
            </w:r>
          </w:p>
        </w:tc>
      </w:tr>
      <w:tr w:rsidR="006F03A9" w:rsidRPr="00950179" w:rsidTr="00D81EF8">
        <w:trPr>
          <w:trHeight w:val="553"/>
          <w:jc w:val="center"/>
        </w:trPr>
        <w:tc>
          <w:tcPr>
            <w:tcW w:w="5121" w:type="dxa"/>
          </w:tcPr>
          <w:p w:rsidR="006F03A9" w:rsidRPr="00950179" w:rsidRDefault="006F03A9" w:rsidP="00D81EF8">
            <w:pPr>
              <w:pStyle w:val="KeinAbsatzformat"/>
              <w:tabs>
                <w:tab w:val="left" w:pos="227"/>
                <w:tab w:val="left" w:pos="2260"/>
              </w:tabs>
              <w:suppressAutoHyphens/>
              <w:spacing w:after="50"/>
              <w:rPr>
                <w:rFonts w:ascii="Arial" w:hAnsi="Arial" w:cs="Arial"/>
                <w:sz w:val="22"/>
                <w:szCs w:val="22"/>
                <w:lang w:val="de-CH"/>
              </w:rPr>
            </w:pPr>
            <w:r w:rsidRPr="00950179">
              <w:rPr>
                <w:rFonts w:ascii="Arial" w:hAnsi="Arial" w:cs="Arial"/>
                <w:sz w:val="22"/>
                <w:szCs w:val="22"/>
                <w:lang w:val="de-CH"/>
              </w:rPr>
              <w:t>Unterschrift des Patienten</w:t>
            </w:r>
          </w:p>
          <w:p w:rsidR="006F03A9" w:rsidRPr="00950179" w:rsidRDefault="006F03A9" w:rsidP="00D81EF8">
            <w:pPr>
              <w:pStyle w:val="KeinAbsatzformat"/>
              <w:tabs>
                <w:tab w:val="left" w:pos="227"/>
                <w:tab w:val="left" w:pos="2260"/>
              </w:tabs>
              <w:suppressAutoHyphens/>
              <w:spacing w:after="50"/>
              <w:rPr>
                <w:rFonts w:ascii="Arial" w:hAnsi="Arial" w:cs="Arial"/>
                <w:sz w:val="22"/>
                <w:szCs w:val="22"/>
                <w:lang w:val="de-CH"/>
              </w:rPr>
            </w:pPr>
          </w:p>
        </w:tc>
        <w:tc>
          <w:tcPr>
            <w:tcW w:w="5374" w:type="dxa"/>
            <w:vMerge/>
          </w:tcPr>
          <w:p w:rsidR="006F03A9" w:rsidRPr="00950179" w:rsidRDefault="006F03A9" w:rsidP="00D81EF8">
            <w:pPr>
              <w:pStyle w:val="KeinAbsatzformat"/>
              <w:tabs>
                <w:tab w:val="left" w:pos="227"/>
                <w:tab w:val="left" w:pos="2260"/>
              </w:tabs>
              <w:suppressAutoHyphens/>
              <w:spacing w:after="50"/>
              <w:rPr>
                <w:rFonts w:ascii="Arial" w:hAnsi="Arial" w:cs="Arial"/>
                <w:sz w:val="22"/>
                <w:szCs w:val="22"/>
                <w:lang w:val="de-CH"/>
              </w:rPr>
            </w:pPr>
          </w:p>
        </w:tc>
      </w:tr>
    </w:tbl>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Pr="00A72DAE" w:rsidRDefault="006F03A9" w:rsidP="006F03A9">
      <w:pPr>
        <w:widowControl w:val="0"/>
        <w:suppressAutoHyphens/>
        <w:autoSpaceDE w:val="0"/>
        <w:autoSpaceDN w:val="0"/>
        <w:adjustRightInd w:val="0"/>
        <w:textAlignment w:val="center"/>
        <w:rPr>
          <w:rFonts w:ascii="Arial" w:hAnsi="Arial" w:cs="Arial"/>
          <w:b/>
          <w:bCs/>
          <w:color w:val="44546A" w:themeColor="text2"/>
          <w:sz w:val="28"/>
          <w:szCs w:val="28"/>
        </w:rPr>
      </w:pPr>
      <w:r w:rsidRPr="00A72DAE">
        <w:rPr>
          <w:rFonts w:ascii="Arial" w:hAnsi="Arial" w:cs="Arial"/>
          <w:b/>
          <w:bCs/>
          <w:color w:val="44546A" w:themeColor="text2"/>
          <w:sz w:val="28"/>
          <w:szCs w:val="28"/>
        </w:rPr>
        <w:lastRenderedPageBreak/>
        <w:t>Patienteninformationen</w:t>
      </w: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Pr="005E24F9" w:rsidRDefault="006F03A9" w:rsidP="006F03A9">
      <w:pPr>
        <w:widowControl w:val="0"/>
        <w:suppressAutoHyphens/>
        <w:autoSpaceDE w:val="0"/>
        <w:autoSpaceDN w:val="0"/>
        <w:adjustRightInd w:val="0"/>
        <w:textAlignment w:val="center"/>
        <w:rPr>
          <w:rFonts w:ascii="Arial" w:hAnsi="Arial" w:cs="Arial"/>
          <w:color w:val="767171" w:themeColor="background2" w:themeShade="80"/>
          <w:sz w:val="22"/>
          <w:szCs w:val="22"/>
        </w:rPr>
      </w:pPr>
      <w:r w:rsidRPr="005E24F9">
        <w:rPr>
          <w:rFonts w:ascii="Arial" w:hAnsi="Arial" w:cs="Arial"/>
          <w:color w:val="767171" w:themeColor="background2" w:themeShade="80"/>
          <w:sz w:val="22"/>
          <w:szCs w:val="22"/>
        </w:rPr>
        <w:t>Um eine Krebserkrankung zu diagnostizieren bzw. auszuschließen wird in der Regel u. a. eine Gewebeprobe entnommen (Biopsie) und histopathologisch untersucht. Auch zur Analyse eines bereits diagnostizierten Tumors wird klassischerweise eine Gewebediagnostik mit anschließender molekularpathologischer Untersuchung der aufgearbeiteten Tumorzell-DNA durchgeführt. Diese Verfahren sollen eine optimale Therapiewahl im Rahmen der personalisierten Krebsmedizin ermöglichen.</w:t>
      </w:r>
    </w:p>
    <w:p w:rsidR="006F03A9" w:rsidRPr="005E24F9" w:rsidRDefault="006F03A9" w:rsidP="006F03A9">
      <w:pPr>
        <w:widowControl w:val="0"/>
        <w:suppressAutoHyphens/>
        <w:autoSpaceDE w:val="0"/>
        <w:autoSpaceDN w:val="0"/>
        <w:adjustRightInd w:val="0"/>
        <w:textAlignment w:val="center"/>
        <w:rPr>
          <w:rFonts w:ascii="Arial" w:hAnsi="Arial" w:cs="Arial"/>
          <w:color w:val="767171" w:themeColor="background2" w:themeShade="80"/>
          <w:sz w:val="22"/>
          <w:szCs w:val="22"/>
        </w:rPr>
      </w:pPr>
    </w:p>
    <w:p w:rsidR="006F03A9" w:rsidRDefault="006F03A9" w:rsidP="006F03A9">
      <w:pPr>
        <w:widowControl w:val="0"/>
        <w:suppressAutoHyphens/>
        <w:autoSpaceDE w:val="0"/>
        <w:autoSpaceDN w:val="0"/>
        <w:adjustRightInd w:val="0"/>
        <w:textAlignment w:val="center"/>
        <w:rPr>
          <w:rFonts w:ascii="Arial" w:hAnsi="Arial" w:cs="Arial"/>
          <w:sz w:val="22"/>
          <w:szCs w:val="22"/>
        </w:rPr>
      </w:pPr>
      <w:r w:rsidRPr="005E24F9">
        <w:rPr>
          <w:rFonts w:ascii="Arial" w:hAnsi="Arial" w:cs="Arial"/>
          <w:color w:val="767171" w:themeColor="background2" w:themeShade="80"/>
          <w:sz w:val="22"/>
          <w:szCs w:val="22"/>
        </w:rPr>
        <w:t xml:space="preserve">Bei der Liquid </w:t>
      </w:r>
      <w:proofErr w:type="spellStart"/>
      <w:r w:rsidRPr="005E24F9">
        <w:rPr>
          <w:rFonts w:ascii="Arial" w:hAnsi="Arial" w:cs="Arial"/>
          <w:color w:val="767171" w:themeColor="background2" w:themeShade="80"/>
          <w:sz w:val="22"/>
          <w:szCs w:val="22"/>
        </w:rPr>
        <w:t>Biopsy</w:t>
      </w:r>
      <w:proofErr w:type="spellEnd"/>
      <w:r w:rsidRPr="005E24F9">
        <w:rPr>
          <w:rFonts w:ascii="Arial" w:hAnsi="Arial" w:cs="Arial"/>
          <w:color w:val="767171" w:themeColor="background2" w:themeShade="80"/>
          <w:sz w:val="22"/>
          <w:szCs w:val="22"/>
        </w:rPr>
        <w:t xml:space="preserve"> („Flüssigbiopsie“), untersuchen Medizinier*innen keine feste Gewebeprobe, sondern Blut auf Tumorzellen bzw. Tumor-DNA. Denn Tumorzellen geben auch Erbinformationen ins Blut ab, die auf Genveränderungen hin untersucht werden können. Sie kommen im Blut allerdings nur in kleinsten Mengen vor, weshalb ihr Nachweis erst durch Entwicklung neuer Verfahren zum hochsensitiven Nachweis von Nukleinsäuren, wie der „digital </w:t>
      </w:r>
      <w:proofErr w:type="spellStart"/>
      <w:r w:rsidRPr="005E24F9">
        <w:rPr>
          <w:rFonts w:ascii="Arial" w:hAnsi="Arial" w:cs="Arial"/>
          <w:color w:val="767171" w:themeColor="background2" w:themeShade="80"/>
          <w:sz w:val="22"/>
          <w:szCs w:val="22"/>
        </w:rPr>
        <w:t>droplet</w:t>
      </w:r>
      <w:proofErr w:type="spellEnd"/>
      <w:r w:rsidRPr="005E24F9">
        <w:rPr>
          <w:rFonts w:ascii="Arial" w:hAnsi="Arial" w:cs="Arial"/>
          <w:color w:val="767171" w:themeColor="background2" w:themeShade="80"/>
          <w:sz w:val="22"/>
          <w:szCs w:val="22"/>
        </w:rPr>
        <w:t xml:space="preserve"> PCR“ (</w:t>
      </w:r>
      <w:proofErr w:type="spellStart"/>
      <w:r w:rsidRPr="005E24F9">
        <w:rPr>
          <w:rFonts w:ascii="Arial" w:hAnsi="Arial" w:cs="Arial"/>
          <w:color w:val="767171" w:themeColor="background2" w:themeShade="80"/>
          <w:sz w:val="22"/>
          <w:szCs w:val="22"/>
        </w:rPr>
        <w:t>ddPCR</w:t>
      </w:r>
      <w:proofErr w:type="spellEnd"/>
      <w:r w:rsidRPr="005E24F9">
        <w:rPr>
          <w:rFonts w:ascii="Arial" w:hAnsi="Arial" w:cs="Arial"/>
          <w:color w:val="767171" w:themeColor="background2" w:themeShade="80"/>
          <w:sz w:val="22"/>
          <w:szCs w:val="22"/>
        </w:rPr>
        <w:t>) oder dem „</w:t>
      </w:r>
      <w:proofErr w:type="spellStart"/>
      <w:r w:rsidRPr="005E24F9">
        <w:rPr>
          <w:rFonts w:ascii="Arial" w:hAnsi="Arial" w:cs="Arial"/>
          <w:color w:val="767171" w:themeColor="background2" w:themeShade="80"/>
          <w:sz w:val="22"/>
          <w:szCs w:val="22"/>
        </w:rPr>
        <w:t>next</w:t>
      </w:r>
      <w:proofErr w:type="spellEnd"/>
      <w:r w:rsidRPr="005E24F9">
        <w:rPr>
          <w:rFonts w:ascii="Arial" w:hAnsi="Arial" w:cs="Arial"/>
          <w:color w:val="767171" w:themeColor="background2" w:themeShade="80"/>
          <w:sz w:val="22"/>
          <w:szCs w:val="22"/>
        </w:rPr>
        <w:t xml:space="preserve"> </w:t>
      </w:r>
      <w:proofErr w:type="spellStart"/>
      <w:r w:rsidRPr="005E24F9">
        <w:rPr>
          <w:rFonts w:ascii="Arial" w:hAnsi="Arial" w:cs="Arial"/>
          <w:color w:val="767171" w:themeColor="background2" w:themeShade="80"/>
          <w:sz w:val="22"/>
          <w:szCs w:val="22"/>
        </w:rPr>
        <w:t>generation</w:t>
      </w:r>
      <w:proofErr w:type="spellEnd"/>
      <w:r w:rsidRPr="005E24F9">
        <w:rPr>
          <w:rFonts w:ascii="Arial" w:hAnsi="Arial" w:cs="Arial"/>
          <w:color w:val="767171" w:themeColor="background2" w:themeShade="80"/>
          <w:sz w:val="22"/>
          <w:szCs w:val="22"/>
        </w:rPr>
        <w:t xml:space="preserve"> </w:t>
      </w:r>
      <w:proofErr w:type="spellStart"/>
      <w:r w:rsidRPr="005E24F9">
        <w:rPr>
          <w:rFonts w:ascii="Arial" w:hAnsi="Arial" w:cs="Arial"/>
          <w:color w:val="767171" w:themeColor="background2" w:themeShade="80"/>
          <w:sz w:val="22"/>
          <w:szCs w:val="22"/>
        </w:rPr>
        <w:t>sequencing</w:t>
      </w:r>
      <w:proofErr w:type="spellEnd"/>
      <w:r w:rsidRPr="005E24F9">
        <w:rPr>
          <w:rFonts w:ascii="Arial" w:hAnsi="Arial" w:cs="Arial"/>
          <w:color w:val="767171" w:themeColor="background2" w:themeShade="80"/>
          <w:sz w:val="22"/>
          <w:szCs w:val="22"/>
        </w:rPr>
        <w:t>“ (NGS) möglich wurde.</w:t>
      </w: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Pr="00BD7EBD" w:rsidRDefault="006F03A9" w:rsidP="006F03A9">
      <w:pPr>
        <w:widowControl w:val="0"/>
        <w:suppressAutoHyphens/>
        <w:autoSpaceDE w:val="0"/>
        <w:autoSpaceDN w:val="0"/>
        <w:adjustRightInd w:val="0"/>
        <w:textAlignment w:val="center"/>
        <w:rPr>
          <w:rFonts w:ascii="Arial" w:hAnsi="Arial" w:cs="Arial"/>
          <w:b/>
          <w:bCs/>
          <w:color w:val="44546A" w:themeColor="text2"/>
          <w:sz w:val="28"/>
          <w:szCs w:val="28"/>
        </w:rPr>
      </w:pPr>
      <w:r w:rsidRPr="00BD7EBD">
        <w:rPr>
          <w:rFonts w:ascii="Arial" w:hAnsi="Arial" w:cs="Arial"/>
          <w:b/>
          <w:bCs/>
          <w:color w:val="44546A" w:themeColor="text2"/>
          <w:sz w:val="28"/>
          <w:szCs w:val="28"/>
        </w:rPr>
        <w:t>Dauer der Untersuchung</w:t>
      </w:r>
    </w:p>
    <w:p w:rsidR="006F03A9" w:rsidRPr="005E24F9" w:rsidRDefault="006F03A9" w:rsidP="006F03A9">
      <w:pPr>
        <w:widowControl w:val="0"/>
        <w:suppressAutoHyphens/>
        <w:autoSpaceDE w:val="0"/>
        <w:autoSpaceDN w:val="0"/>
        <w:adjustRightInd w:val="0"/>
        <w:textAlignment w:val="center"/>
        <w:rPr>
          <w:rFonts w:ascii="Arial" w:hAnsi="Arial" w:cs="Arial"/>
          <w:color w:val="767171" w:themeColor="background2" w:themeShade="80"/>
          <w:sz w:val="22"/>
          <w:szCs w:val="22"/>
        </w:rPr>
      </w:pPr>
    </w:p>
    <w:p w:rsidR="006F03A9" w:rsidRPr="005E24F9" w:rsidRDefault="006F03A9" w:rsidP="006F03A9">
      <w:pPr>
        <w:widowControl w:val="0"/>
        <w:suppressAutoHyphens/>
        <w:autoSpaceDE w:val="0"/>
        <w:autoSpaceDN w:val="0"/>
        <w:adjustRightInd w:val="0"/>
        <w:textAlignment w:val="center"/>
        <w:rPr>
          <w:rFonts w:ascii="Arial" w:hAnsi="Arial" w:cs="Arial"/>
          <w:color w:val="767171" w:themeColor="background2" w:themeShade="80"/>
          <w:sz w:val="22"/>
          <w:szCs w:val="22"/>
        </w:rPr>
      </w:pPr>
      <w:r w:rsidRPr="005E24F9">
        <w:rPr>
          <w:rFonts w:ascii="Arial" w:hAnsi="Arial" w:cs="Arial"/>
          <w:color w:val="767171" w:themeColor="background2" w:themeShade="80"/>
          <w:sz w:val="22"/>
          <w:szCs w:val="22"/>
        </w:rPr>
        <w:t>Vom Tag der Blutentnahme bis zur Befundung der Ergebnisse kann es bis zu 15 Werktage dauern. In dieser Zeit wird Ihr Onkologe sich in der Regel auch noch nicht auf eine Therapie festlegen, da er die Ergebnisse der umfassenden Blutuntersuchung abwarten möchte, um eine individuelle Therapie für Sie planen zu können.</w:t>
      </w:r>
    </w:p>
    <w:p w:rsidR="006F03A9" w:rsidRPr="005E24F9" w:rsidRDefault="006F03A9" w:rsidP="006F03A9">
      <w:pPr>
        <w:widowControl w:val="0"/>
        <w:suppressAutoHyphens/>
        <w:autoSpaceDE w:val="0"/>
        <w:autoSpaceDN w:val="0"/>
        <w:adjustRightInd w:val="0"/>
        <w:textAlignment w:val="center"/>
        <w:rPr>
          <w:rFonts w:ascii="Arial" w:hAnsi="Arial" w:cs="Arial"/>
          <w:color w:val="767171" w:themeColor="background2" w:themeShade="80"/>
          <w:sz w:val="22"/>
          <w:szCs w:val="22"/>
        </w:rPr>
      </w:pPr>
      <w:r w:rsidRPr="005E24F9">
        <w:rPr>
          <w:rFonts w:ascii="Arial" w:hAnsi="Arial" w:cs="Arial"/>
          <w:color w:val="767171" w:themeColor="background2" w:themeShade="80"/>
          <w:sz w:val="22"/>
          <w:szCs w:val="22"/>
        </w:rPr>
        <w:t>Bitte machen Sie sich keine Sorgen um die Dauer der Untersuchung. Ihr Onkologe hat in Abstimmung mit verschiedenen Fachärzten festgelegt, dass diese Untersuchung die derzeit beste Möglichkeit ist, eine adäquate, auf Sie abgestimmte Therapie festlegen zu können.</w:t>
      </w: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Pr="00BD7EBD" w:rsidRDefault="006F03A9" w:rsidP="006F03A9">
      <w:pPr>
        <w:widowControl w:val="0"/>
        <w:suppressAutoHyphens/>
        <w:autoSpaceDE w:val="0"/>
        <w:autoSpaceDN w:val="0"/>
        <w:adjustRightInd w:val="0"/>
        <w:textAlignment w:val="center"/>
        <w:rPr>
          <w:rFonts w:ascii="Arial" w:hAnsi="Arial" w:cs="Arial"/>
          <w:b/>
          <w:bCs/>
          <w:color w:val="44546A" w:themeColor="text2"/>
          <w:sz w:val="28"/>
          <w:szCs w:val="28"/>
        </w:rPr>
      </w:pPr>
      <w:r w:rsidRPr="00BD7EBD">
        <w:rPr>
          <w:rFonts w:ascii="Arial" w:hAnsi="Arial" w:cs="Arial"/>
          <w:b/>
          <w:bCs/>
          <w:color w:val="44546A" w:themeColor="text2"/>
          <w:sz w:val="28"/>
          <w:szCs w:val="28"/>
        </w:rPr>
        <w:t>Warum müssen Sie eine Patienteninformation/Patienteneinwilligung</w:t>
      </w:r>
    </w:p>
    <w:p w:rsidR="006F03A9" w:rsidRPr="00BD7EBD" w:rsidRDefault="006F03A9" w:rsidP="006F03A9">
      <w:pPr>
        <w:widowControl w:val="0"/>
        <w:suppressAutoHyphens/>
        <w:autoSpaceDE w:val="0"/>
        <w:autoSpaceDN w:val="0"/>
        <w:adjustRightInd w:val="0"/>
        <w:textAlignment w:val="center"/>
        <w:rPr>
          <w:rFonts w:ascii="Arial" w:hAnsi="Arial" w:cs="Arial"/>
          <w:b/>
          <w:bCs/>
          <w:color w:val="44546A" w:themeColor="text2"/>
          <w:sz w:val="28"/>
          <w:szCs w:val="28"/>
        </w:rPr>
      </w:pPr>
      <w:r w:rsidRPr="00BD7EBD">
        <w:rPr>
          <w:rFonts w:ascii="Arial" w:hAnsi="Arial" w:cs="Arial"/>
          <w:b/>
          <w:bCs/>
          <w:color w:val="44546A" w:themeColor="text2"/>
          <w:sz w:val="28"/>
          <w:szCs w:val="28"/>
        </w:rPr>
        <w:t>unterschreiben?</w:t>
      </w: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Pr="005E24F9" w:rsidRDefault="006F03A9" w:rsidP="006F03A9">
      <w:pPr>
        <w:widowControl w:val="0"/>
        <w:suppressAutoHyphens/>
        <w:autoSpaceDE w:val="0"/>
        <w:autoSpaceDN w:val="0"/>
        <w:adjustRightInd w:val="0"/>
        <w:textAlignment w:val="center"/>
        <w:rPr>
          <w:rFonts w:ascii="Arial" w:hAnsi="Arial" w:cs="Arial"/>
          <w:color w:val="767171" w:themeColor="background2" w:themeShade="80"/>
          <w:sz w:val="22"/>
          <w:szCs w:val="22"/>
        </w:rPr>
      </w:pPr>
      <w:r w:rsidRPr="005E24F9">
        <w:rPr>
          <w:rFonts w:ascii="Arial" w:hAnsi="Arial" w:cs="Arial"/>
          <w:color w:val="767171" w:themeColor="background2" w:themeShade="80"/>
          <w:sz w:val="22"/>
          <w:szCs w:val="22"/>
        </w:rPr>
        <w:t xml:space="preserve">Durch Ihre Unterschrift auf der Patienteninformation / Patienteneinwilligung geben Sie Ihr Einverständnis, dass die Liquid </w:t>
      </w:r>
      <w:proofErr w:type="spellStart"/>
      <w:r w:rsidRPr="005E24F9">
        <w:rPr>
          <w:rFonts w:ascii="Arial" w:hAnsi="Arial" w:cs="Arial"/>
          <w:color w:val="767171" w:themeColor="background2" w:themeShade="80"/>
          <w:sz w:val="22"/>
          <w:szCs w:val="22"/>
        </w:rPr>
        <w:t>Biopsy</w:t>
      </w:r>
      <w:proofErr w:type="spellEnd"/>
      <w:r w:rsidRPr="005E24F9">
        <w:rPr>
          <w:rFonts w:ascii="Arial" w:hAnsi="Arial" w:cs="Arial"/>
          <w:color w:val="767171" w:themeColor="background2" w:themeShade="80"/>
          <w:sz w:val="22"/>
          <w:szCs w:val="22"/>
        </w:rPr>
        <w:t xml:space="preserve"> Untersuchung durch das Pathologische Labor XY durchgeführt werden darf. Ihre Daten dürfen von Ihrem behandelnden Arzt nur zum Zweck dieser Untersuchung weitergegeben werden, alle mit der Untersuchung betrauten Personen unterliegen der Schweigepflicht.</w:t>
      </w: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Pr="00BD7EBD" w:rsidRDefault="006F03A9" w:rsidP="006F03A9">
      <w:pPr>
        <w:widowControl w:val="0"/>
        <w:suppressAutoHyphens/>
        <w:autoSpaceDE w:val="0"/>
        <w:autoSpaceDN w:val="0"/>
        <w:adjustRightInd w:val="0"/>
        <w:textAlignment w:val="center"/>
        <w:rPr>
          <w:rFonts w:ascii="Arial" w:hAnsi="Arial" w:cs="Arial"/>
          <w:b/>
          <w:bCs/>
          <w:color w:val="44546A" w:themeColor="text2"/>
          <w:sz w:val="28"/>
          <w:szCs w:val="28"/>
        </w:rPr>
      </w:pPr>
      <w:r w:rsidRPr="00BD7EBD">
        <w:rPr>
          <w:rFonts w:ascii="Arial" w:hAnsi="Arial" w:cs="Arial"/>
          <w:b/>
          <w:bCs/>
          <w:color w:val="44546A" w:themeColor="text2"/>
          <w:sz w:val="28"/>
          <w:szCs w:val="28"/>
        </w:rPr>
        <w:t>Wie erfolgt die Kostenübernahme?</w:t>
      </w:r>
    </w:p>
    <w:p w:rsidR="006F03A9" w:rsidRDefault="006F03A9" w:rsidP="006F03A9">
      <w:pPr>
        <w:widowControl w:val="0"/>
        <w:suppressAutoHyphens/>
        <w:autoSpaceDE w:val="0"/>
        <w:autoSpaceDN w:val="0"/>
        <w:adjustRightInd w:val="0"/>
        <w:textAlignment w:val="center"/>
        <w:rPr>
          <w:rFonts w:ascii="Arial" w:hAnsi="Arial" w:cs="Arial"/>
          <w:sz w:val="22"/>
          <w:szCs w:val="22"/>
        </w:rPr>
      </w:pPr>
    </w:p>
    <w:p w:rsidR="006F03A9" w:rsidRPr="005E24F9" w:rsidRDefault="006F03A9" w:rsidP="006F03A9">
      <w:pPr>
        <w:widowControl w:val="0"/>
        <w:suppressAutoHyphens/>
        <w:autoSpaceDE w:val="0"/>
        <w:autoSpaceDN w:val="0"/>
        <w:adjustRightInd w:val="0"/>
        <w:textAlignment w:val="center"/>
        <w:rPr>
          <w:rFonts w:ascii="Arial" w:hAnsi="Arial" w:cs="Arial"/>
          <w:color w:val="767171" w:themeColor="background2" w:themeShade="80"/>
          <w:sz w:val="22"/>
          <w:szCs w:val="22"/>
        </w:rPr>
      </w:pPr>
      <w:r w:rsidRPr="005E24F9">
        <w:rPr>
          <w:rFonts w:ascii="Arial" w:hAnsi="Arial" w:cs="Arial"/>
          <w:color w:val="767171" w:themeColor="background2" w:themeShade="80"/>
          <w:sz w:val="22"/>
          <w:szCs w:val="22"/>
        </w:rPr>
        <w:t xml:space="preserve">Bei der Liquid </w:t>
      </w:r>
      <w:proofErr w:type="spellStart"/>
      <w:r w:rsidRPr="005E24F9">
        <w:rPr>
          <w:rFonts w:ascii="Arial" w:hAnsi="Arial" w:cs="Arial"/>
          <w:color w:val="767171" w:themeColor="background2" w:themeShade="80"/>
          <w:sz w:val="22"/>
          <w:szCs w:val="22"/>
        </w:rPr>
        <w:t>Biopsy</w:t>
      </w:r>
      <w:proofErr w:type="spellEnd"/>
      <w:r w:rsidRPr="005E24F9">
        <w:rPr>
          <w:rFonts w:ascii="Arial" w:hAnsi="Arial" w:cs="Arial"/>
          <w:color w:val="767171" w:themeColor="background2" w:themeShade="80"/>
          <w:sz w:val="22"/>
          <w:szCs w:val="22"/>
        </w:rPr>
        <w:t xml:space="preserve"> handelt es sich um ein neues Verfahren. Obwohl es eine belastende Gewebeentnahme durch eine einfache Blutentnahme ersetzt, ist die Methode noch nicht in den allgemeinen Leistungskatalog der Krankenkassen aufgenommen worden. Ihr behandelnder Arzt wünscht jedoch die derzeit bestmögliche Diagnostik auf höchstem wissenschaftlichem und technologischem Niveau für Sie. Aus diesem Grund hat er über das </w:t>
      </w:r>
      <w:proofErr w:type="spellStart"/>
      <w:r w:rsidRPr="005E24F9">
        <w:rPr>
          <w:rFonts w:ascii="Arial" w:hAnsi="Arial" w:cs="Arial"/>
          <w:color w:val="767171" w:themeColor="background2" w:themeShade="80"/>
          <w:sz w:val="22"/>
          <w:szCs w:val="22"/>
        </w:rPr>
        <w:t>Pathologsiche</w:t>
      </w:r>
      <w:proofErr w:type="spellEnd"/>
      <w:r w:rsidRPr="005E24F9">
        <w:rPr>
          <w:rFonts w:ascii="Arial" w:hAnsi="Arial" w:cs="Arial"/>
          <w:color w:val="767171" w:themeColor="background2" w:themeShade="80"/>
          <w:sz w:val="22"/>
          <w:szCs w:val="22"/>
        </w:rPr>
        <w:t xml:space="preserve"> Labor XY die Liquid </w:t>
      </w:r>
      <w:proofErr w:type="spellStart"/>
      <w:r w:rsidRPr="005E24F9">
        <w:rPr>
          <w:rFonts w:ascii="Arial" w:hAnsi="Arial" w:cs="Arial"/>
          <w:color w:val="767171" w:themeColor="background2" w:themeShade="80"/>
          <w:sz w:val="22"/>
          <w:szCs w:val="22"/>
        </w:rPr>
        <w:t>Biopsy</w:t>
      </w:r>
      <w:proofErr w:type="spellEnd"/>
      <w:r w:rsidRPr="005E24F9">
        <w:rPr>
          <w:rFonts w:ascii="Arial" w:hAnsi="Arial" w:cs="Arial"/>
          <w:color w:val="767171" w:themeColor="background2" w:themeShade="80"/>
          <w:sz w:val="22"/>
          <w:szCs w:val="22"/>
        </w:rPr>
        <w:t xml:space="preserve"> in Auftrag gegeben.</w:t>
      </w:r>
    </w:p>
    <w:p w:rsidR="006F03A9" w:rsidRDefault="006F03A9" w:rsidP="006F03A9"/>
    <w:p w:rsidR="00104A1E" w:rsidRDefault="0014672D"/>
    <w:sectPr w:rsidR="00104A1E" w:rsidSect="00EA42C0">
      <w:footerReference w:type="default" r:id="rId6"/>
      <w:pgSz w:w="11900" w:h="16840"/>
      <w:pgMar w:top="720" w:right="720" w:bottom="720" w:left="720" w:header="708" w:footer="28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2D" w:rsidRDefault="0014672D">
      <w:r>
        <w:separator/>
      </w:r>
    </w:p>
  </w:endnote>
  <w:endnote w:type="continuationSeparator" w:id="0">
    <w:p w:rsidR="0014672D" w:rsidRDefault="0014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F9" w:rsidRDefault="0014672D" w:rsidP="005D1DBE">
    <w:pPr>
      <w:pStyle w:val="Fuzeile"/>
      <w:ind w:firstLine="2832"/>
      <w:rPr>
        <w:rFonts w:ascii="Arial" w:hAnsi="Arial" w:cs="Arial"/>
        <w:color w:val="000000" w:themeColor="text1"/>
        <w:sz w:val="18"/>
        <w:lang w:val="de-DE"/>
      </w:rPr>
    </w:pPr>
  </w:p>
  <w:p w:rsidR="005E24F9" w:rsidRPr="000B633A" w:rsidRDefault="006F03A9" w:rsidP="000B633A">
    <w:pPr>
      <w:pStyle w:val="Fuzeile"/>
      <w:jc w:val="center"/>
      <w:rPr>
        <w:rFonts w:ascii="Arial" w:hAnsi="Arial" w:cs="Arial"/>
        <w:sz w:val="18"/>
        <w:lang w:val="de-DE"/>
      </w:rPr>
    </w:pPr>
    <w:r w:rsidRPr="000B633A">
      <w:rPr>
        <w:rFonts w:ascii="Arial" w:hAnsi="Arial" w:cs="Arial"/>
        <w:color w:val="FF0000"/>
        <w:sz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2D" w:rsidRDefault="0014672D">
      <w:r>
        <w:separator/>
      </w:r>
    </w:p>
  </w:footnote>
  <w:footnote w:type="continuationSeparator" w:id="0">
    <w:p w:rsidR="0014672D" w:rsidRDefault="00146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A9"/>
    <w:rsid w:val="000B188C"/>
    <w:rsid w:val="0014672D"/>
    <w:rsid w:val="001C654A"/>
    <w:rsid w:val="002B5707"/>
    <w:rsid w:val="00602CCA"/>
    <w:rsid w:val="006F03A9"/>
    <w:rsid w:val="009456EA"/>
    <w:rsid w:val="009922EE"/>
    <w:rsid w:val="00F35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0833"/>
  <w15:chartTrackingRefBased/>
  <w15:docId w15:val="{214B918E-3A46-4607-AD0E-D5D96280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03A9"/>
    <w:pPr>
      <w:spacing w:after="0" w:line="240" w:lineRule="auto"/>
    </w:pPr>
    <w:rPr>
      <w:rFonts w:ascii="Times New Roman" w:eastAsia="Times New Roman" w:hAnsi="Times New Roman" w:cs="Times New Roman"/>
      <w:sz w:val="20"/>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uiPriority w:val="99"/>
    <w:rsid w:val="006F03A9"/>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paragraph" w:styleId="Fuzeile">
    <w:name w:val="footer"/>
    <w:basedOn w:val="Standard"/>
    <w:link w:val="FuzeileZchn"/>
    <w:uiPriority w:val="99"/>
    <w:rsid w:val="006F03A9"/>
    <w:pPr>
      <w:tabs>
        <w:tab w:val="center" w:pos="4680"/>
        <w:tab w:val="right" w:pos="9360"/>
      </w:tabs>
    </w:pPr>
    <w:rPr>
      <w:rFonts w:ascii="Cambria" w:hAnsi="Cambria"/>
      <w:sz w:val="22"/>
      <w:szCs w:val="22"/>
      <w:lang w:val="en-US" w:eastAsia="en-US"/>
    </w:rPr>
  </w:style>
  <w:style w:type="character" w:customStyle="1" w:styleId="FuzeileZchn">
    <w:name w:val="Fußzeile Zchn"/>
    <w:basedOn w:val="Absatz-Standardschriftart"/>
    <w:link w:val="Fuzeile"/>
    <w:uiPriority w:val="99"/>
    <w:rsid w:val="006F03A9"/>
    <w:rPr>
      <w:rFonts w:ascii="Cambria" w:eastAsia="Times New Roman"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4084</Characters>
  <Application>Microsoft Office Word</Application>
  <DocSecurity>0</DocSecurity>
  <Lines>272</Lines>
  <Paragraphs>233</Paragraphs>
  <ScaleCrop>false</ScaleCrop>
  <HeadingPairs>
    <vt:vector size="2" baseType="variant">
      <vt:variant>
        <vt:lpstr>Titel</vt:lpstr>
      </vt:variant>
      <vt:variant>
        <vt:i4>1</vt:i4>
      </vt:variant>
    </vt:vector>
  </HeadingPairs>
  <TitlesOfParts>
    <vt:vector size="1" baseType="lpstr">
      <vt:lpstr/>
    </vt:vector>
  </TitlesOfParts>
  <Company>Uniklinik Ulm</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Wolfgang</dc:creator>
  <cp:keywords/>
  <dc:description/>
  <cp:lastModifiedBy>Janni Wolfgang</cp:lastModifiedBy>
  <cp:revision>2</cp:revision>
  <dcterms:created xsi:type="dcterms:W3CDTF">2023-11-21T08:37:00Z</dcterms:created>
  <dcterms:modified xsi:type="dcterms:W3CDTF">2023-11-21T08:37:00Z</dcterms:modified>
</cp:coreProperties>
</file>